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2634C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505585" cy="1401445"/>
            <wp:effectExtent l="0" t="0" r="18415" b="825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A10D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992B7">
      <w:pPr>
        <w:pStyle w:val="2"/>
        <w:spacing w:before="282" w:line="194" w:lineRule="auto"/>
        <w:ind w:left="551"/>
        <w:rPr>
          <w:sz w:val="27"/>
          <w:szCs w:val="27"/>
        </w:rPr>
      </w:pPr>
      <w:r>
        <w:rPr>
          <w:b/>
          <w:bCs/>
          <w:sz w:val="27"/>
          <w:szCs w:val="27"/>
        </w:rPr>
        <w:t>CTNNB</w:t>
      </w:r>
      <w:r>
        <w:rPr>
          <w:b/>
          <w:bCs/>
          <w:spacing w:val="7"/>
          <w:sz w:val="27"/>
          <w:szCs w:val="27"/>
        </w:rPr>
        <w:t>1 (S45P)</w:t>
      </w:r>
    </w:p>
    <w:p w14:paraId="44D35F88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26307</w:t>
      </w:r>
    </w:p>
    <w:p w14:paraId="7709CE20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7"/>
          <w:w w:val="10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Beta-catenin, CTNNB,</w:t>
      </w:r>
      <w:r>
        <w:rPr>
          <w:spacing w:val="13"/>
        </w:rPr>
        <w:t xml:space="preserve"> </w:t>
      </w:r>
      <w:r>
        <w:rPr>
          <w:spacing w:val="-1"/>
        </w:rPr>
        <w:t>Catenin beta-1</w:t>
      </w:r>
    </w:p>
    <w:p w14:paraId="47C63E60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Anti-CTNNB1 (S45P) Mouse Monoclonal</w:t>
      </w:r>
      <w:r>
        <w:rPr>
          <w:spacing w:val="-14"/>
        </w:rPr>
        <w:t xml:space="preserve"> </w:t>
      </w:r>
      <w:r>
        <w:t>A</w:t>
      </w:r>
      <w:r>
        <w:rPr>
          <w:spacing w:val="-1"/>
        </w:rPr>
        <w:t>ntibody</w:t>
      </w:r>
    </w:p>
    <w:p w14:paraId="7AF2AD60">
      <w:pPr>
        <w:spacing w:before="150"/>
      </w:pPr>
    </w:p>
    <w:p w14:paraId="64B1A030">
      <w:pPr>
        <w:sectPr>
          <w:pgSz w:w="11906" w:h="16839"/>
          <w:pgMar w:top="849" w:right="266" w:bottom="0" w:left="1260" w:header="0" w:footer="0" w:gutter="0"/>
          <w:cols w:equalWidth="0" w:num="1">
            <w:col w:w="10380"/>
          </w:cols>
        </w:sectPr>
      </w:pPr>
    </w:p>
    <w:p w14:paraId="1CDAEA45">
      <w:pPr>
        <w:pStyle w:val="2"/>
        <w:spacing w:before="39" w:line="294" w:lineRule="auto"/>
        <w:ind w:left="539" w:right="331" w:firstLine="4"/>
      </w:pPr>
      <w:r>
        <w:rPr>
          <w:b/>
          <w:bCs/>
        </w:rPr>
        <w:t xml:space="preserve">Background: </w:t>
      </w:r>
      <w:r>
        <w:t>CTNNB1 pr</w:t>
      </w:r>
      <w:r>
        <w:rPr>
          <w:spacing w:val="-1"/>
        </w:rPr>
        <w:t>otein is a dual</w:t>
      </w:r>
      <w:r>
        <w:rPr>
          <w:spacing w:val="8"/>
        </w:rPr>
        <w:t xml:space="preserve"> </w:t>
      </w:r>
      <w:r>
        <w:rPr>
          <w:spacing w:val="-1"/>
        </w:rPr>
        <w:t>function</w:t>
      </w:r>
      <w:r>
        <w:t xml:space="preserve"> protein. It is a</w:t>
      </w:r>
      <w:r>
        <w:rPr>
          <w:spacing w:val="8"/>
        </w:rPr>
        <w:t xml:space="preserve"> </w:t>
      </w:r>
      <w:r>
        <w:t>subunit</w:t>
      </w:r>
      <w:r>
        <w:rPr>
          <w:spacing w:val="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complex</w:t>
      </w:r>
      <w:r>
        <w:rPr>
          <w:spacing w:val="12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rPr>
          <w:spacing w:val="-1"/>
        </w:rPr>
        <w:t>proteins</w:t>
      </w:r>
    </w:p>
    <w:p w14:paraId="247D9CB0">
      <w:pPr>
        <w:pStyle w:val="2"/>
        <w:spacing w:before="32" w:line="291" w:lineRule="auto"/>
        <w:ind w:left="548" w:right="335" w:hanging="6"/>
      </w:pPr>
      <w:r>
        <w:t>that from adherens</w:t>
      </w:r>
      <w:r>
        <w:rPr>
          <w:spacing w:val="-10"/>
        </w:rPr>
        <w:t xml:space="preserve"> </w:t>
      </w:r>
      <w:r>
        <w:t>junctions, which are important for the establishment and maintenance</w:t>
      </w:r>
      <w:r>
        <w:rPr>
          <w:spacing w:val="10"/>
        </w:rPr>
        <w:t xml:space="preserve"> </w:t>
      </w:r>
      <w:r>
        <w:rPr>
          <w:spacing w:val="-1"/>
        </w:rPr>
        <w:t>of</w:t>
      </w:r>
    </w:p>
    <w:p w14:paraId="3451F6A2">
      <w:pPr>
        <w:pStyle w:val="2"/>
        <w:spacing w:before="39" w:line="193" w:lineRule="auto"/>
        <w:ind w:left="547"/>
      </w:pPr>
      <w:r>
        <w:rPr>
          <w:spacing w:val="-1"/>
        </w:rPr>
        <w:t>epithelial cell layers by regulating</w:t>
      </w:r>
      <w:r>
        <w:rPr>
          <w:spacing w:val="25"/>
        </w:rPr>
        <w:t xml:space="preserve"> </w:t>
      </w:r>
      <w:r>
        <w:rPr>
          <w:spacing w:val="-1"/>
        </w:rPr>
        <w:t>cell</w:t>
      </w:r>
      <w:r>
        <w:rPr>
          <w:spacing w:val="10"/>
        </w:rPr>
        <w:t xml:space="preserve"> </w:t>
      </w:r>
      <w:r>
        <w:rPr>
          <w:spacing w:val="-1"/>
        </w:rPr>
        <w:t>growth</w:t>
      </w:r>
    </w:p>
    <w:p w14:paraId="063B942E">
      <w:pPr>
        <w:pStyle w:val="2"/>
        <w:spacing w:before="116" w:line="304" w:lineRule="auto"/>
        <w:ind w:left="539" w:right="480" w:firstLine="8"/>
      </w:pPr>
      <w:r>
        <w:rPr>
          <w:spacing w:val="-1"/>
        </w:rPr>
        <w:t>and adhesion between</w:t>
      </w:r>
      <w:r>
        <w:rPr>
          <w:spacing w:val="18"/>
          <w:w w:val="101"/>
        </w:rPr>
        <w:t xml:space="preserve"> </w:t>
      </w:r>
      <w:r>
        <w:rPr>
          <w:spacing w:val="-1"/>
        </w:rPr>
        <w:t>adjacent cells.</w:t>
      </w:r>
      <w:r>
        <w:rPr>
          <w:spacing w:val="13"/>
        </w:rPr>
        <w:t xml:space="preserve"> </w:t>
      </w:r>
      <w:r>
        <w:rPr>
          <w:spacing w:val="-1"/>
        </w:rPr>
        <w:t>CTNNB1</w:t>
      </w:r>
      <w:r>
        <w:t xml:space="preserve">  protein also pulls double duty</w:t>
      </w:r>
      <w:r>
        <w:rPr>
          <w:spacing w:val="13"/>
        </w:rPr>
        <w:t xml:space="preserve"> </w:t>
      </w:r>
      <w:r>
        <w:t>as an</w:t>
      </w:r>
      <w:r>
        <w:rPr>
          <w:spacing w:val="-1"/>
        </w:rPr>
        <w:t xml:space="preserve"> intracellular</w:t>
      </w:r>
      <w:r>
        <w:t xml:space="preserve"> signal transducer in the Wnt sign</w:t>
      </w:r>
      <w:r>
        <w:rPr>
          <w:spacing w:val="-1"/>
        </w:rPr>
        <w:t>aling pathway.</w:t>
      </w:r>
      <w:r>
        <w:t xml:space="preserve">  Mutations of CTNNB1 have been implicate</w:t>
      </w:r>
      <w:r>
        <w:rPr>
          <w:spacing w:val="-1"/>
        </w:rPr>
        <w:t>d in</w:t>
      </w:r>
      <w:r>
        <w:t xml:space="preserve">  the pathogenesis of several canc</w:t>
      </w:r>
      <w:r>
        <w:rPr>
          <w:spacing w:val="-1"/>
        </w:rPr>
        <w:t>ers.</w:t>
      </w:r>
    </w:p>
    <w:p w14:paraId="436AB1C1">
      <w:pPr>
        <w:pStyle w:val="2"/>
        <w:spacing w:before="32" w:line="193" w:lineRule="auto"/>
        <w:ind w:left="544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</w:p>
    <w:p w14:paraId="5714EA5B">
      <w:pPr>
        <w:pStyle w:val="2"/>
        <w:spacing w:before="118" w:line="294" w:lineRule="auto"/>
        <w:ind w:left="541" w:right="569" w:firstLine="4"/>
      </w:pPr>
      <w:r>
        <w:t>internal region of CTNNB1 which inc</w:t>
      </w:r>
      <w:r>
        <w:rPr>
          <w:spacing w:val="-1"/>
        </w:rPr>
        <w:t>ludes the</w:t>
      </w:r>
      <w:r>
        <w:t xml:space="preserve"> </w:t>
      </w:r>
      <w:r>
        <w:rPr>
          <w:spacing w:val="-1"/>
        </w:rPr>
        <w:t>mutation of S45P, human origin.</w:t>
      </w:r>
    </w:p>
    <w:p w14:paraId="3D583E9C">
      <w:pPr>
        <w:pStyle w:val="2"/>
        <w:spacing w:before="35" w:line="291" w:lineRule="auto"/>
        <w:ind w:left="544" w:right="1352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</w:t>
      </w:r>
      <w:r>
        <w:rPr>
          <w:spacing w:val="-2"/>
        </w:rPr>
        <w:t>LISA,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0E83F48C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23C44F8E">
      <w:pPr>
        <w:pStyle w:val="2"/>
        <w:spacing w:before="122" w:line="189" w:lineRule="auto"/>
        <w:ind w:left="545"/>
      </w:pPr>
      <w:r>
        <w:rPr>
          <w:spacing w:val="-2"/>
        </w:rPr>
        <w:t>IF: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0936E4F4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70F1B0D6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Concentration: </w:t>
      </w:r>
      <w:r>
        <w:rPr>
          <w:spacing w:val="-1"/>
        </w:rPr>
        <w:t>0.5 mg/ml</w:t>
      </w:r>
    </w:p>
    <w:p w14:paraId="2441668F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A5DF15A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3A66690D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2055D2FC">
      <w:pPr>
        <w:pStyle w:val="2"/>
        <w:spacing w:before="117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17BD3E55">
      <w:pPr>
        <w:pStyle w:val="2"/>
        <w:spacing w:before="29" w:line="193" w:lineRule="auto"/>
        <w:ind w:left="543"/>
      </w:pPr>
      <w:r>
        <w:rPr>
          <w:spacing w:val="-1"/>
        </w:rPr>
        <w:t>Preservative: no</w:t>
      </w:r>
    </w:p>
    <w:p w14:paraId="30F16519">
      <w:pPr>
        <w:pStyle w:val="2"/>
        <w:spacing w:before="107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59705E1F">
      <w:pPr>
        <w:pStyle w:val="2"/>
        <w:spacing w:before="35" w:line="294" w:lineRule="auto"/>
        <w:ind w:left="539" w:right="643" w:firstLine="11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  <w:r>
        <w:rPr>
          <w:spacing w:val="26"/>
          <w:w w:val="101"/>
        </w:rPr>
        <w:t xml:space="preserve"> </w:t>
      </w:r>
      <w:r>
        <w:rPr>
          <w:spacing w:val="-1"/>
        </w:rPr>
        <w:t>S45P</w:t>
      </w:r>
      <w:r>
        <w:rPr>
          <w:spacing w:val="-10"/>
        </w:rPr>
        <w:t xml:space="preserve"> </w:t>
      </w:r>
      <w:r>
        <w:rPr>
          <w:spacing w:val="-1"/>
        </w:rPr>
        <w:t>mutant,</w:t>
      </w:r>
      <w:r>
        <w:t xml:space="preserve"> 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wild</w:t>
      </w:r>
      <w:r>
        <w:rPr>
          <w:spacing w:val="1"/>
        </w:rPr>
        <w:t>-</w:t>
      </w:r>
      <w:r>
        <w:t>type</w:t>
      </w:r>
      <w:r>
        <w:rPr>
          <w:spacing w:val="1"/>
        </w:rPr>
        <w:t xml:space="preserve"> </w:t>
      </w:r>
      <w:r>
        <w:t>CTNNB</w:t>
      </w:r>
      <w:r>
        <w:rPr>
          <w:spacing w:val="1"/>
        </w:rPr>
        <w:t xml:space="preserve">1 </w:t>
      </w:r>
      <w:r>
        <w:t>of</w:t>
      </w:r>
      <w:r>
        <w:rPr>
          <w:spacing w:val="-11"/>
        </w:rPr>
        <w:t xml:space="preserve"> </w:t>
      </w:r>
      <w:r>
        <w:t>vertebrates</w:t>
      </w:r>
      <w:r>
        <w:rPr>
          <w:spacing w:val="1"/>
        </w:rPr>
        <w:t>.</w:t>
      </w:r>
    </w:p>
    <w:p w14:paraId="2560040E">
      <w:pPr>
        <w:pStyle w:val="2"/>
        <w:spacing w:before="33" w:line="294" w:lineRule="auto"/>
        <w:ind w:left="548" w:right="86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1E3CAF6A">
      <w:pPr>
        <w:spacing w:line="32" w:lineRule="exact"/>
      </w:pPr>
    </w:p>
    <w:p w14:paraId="24DACAD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372E21E">
      <w:pPr>
        <w:pStyle w:val="2"/>
        <w:spacing w:before="41" w:line="189" w:lineRule="auto"/>
        <w:ind w:left="4"/>
      </w:pPr>
      <w:r>
        <w:rPr>
          <w:b/>
          <w:bCs/>
          <w:spacing w:val="-1"/>
        </w:rPr>
        <w:t>Immunofluorescence:</w:t>
      </w:r>
    </w:p>
    <w:p w14:paraId="5A22A1A5">
      <w:pPr>
        <w:spacing w:before="210" w:line="2811" w:lineRule="exact"/>
        <w:ind w:firstLine="40"/>
      </w:pPr>
      <w:r>
        <w:rPr>
          <w:position w:val="-56"/>
        </w:rPr>
        <w:drawing>
          <wp:inline distT="0" distB="0" distL="0" distR="0">
            <wp:extent cx="3286760" cy="17849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7379" cy="178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A384">
      <w:pPr>
        <w:pStyle w:val="2"/>
        <w:spacing w:before="221" w:line="189" w:lineRule="auto"/>
        <w:ind w:left="4"/>
      </w:pPr>
      <w:r>
        <w:rPr>
          <w:b/>
          <w:bCs/>
        </w:rPr>
        <w:t>Immunofluorescence of cell</w:t>
      </w:r>
      <w:r>
        <w:rPr>
          <w:b/>
          <w:bCs/>
          <w:spacing w:val="-1"/>
        </w:rPr>
        <w:t>s expressing</w:t>
      </w:r>
    </w:p>
    <w:p w14:paraId="2389F531">
      <w:pPr>
        <w:pStyle w:val="2"/>
        <w:spacing w:before="123" w:line="298" w:lineRule="auto"/>
        <w:ind w:right="1165" w:firstLine="8"/>
      </w:pPr>
      <w:r>
        <w:rPr>
          <w:b/>
          <w:bCs/>
        </w:rPr>
        <w:t>CTNNB1 proteins with anti-C</w:t>
      </w:r>
      <w:r>
        <w:rPr>
          <w:b/>
          <w:bCs/>
          <w:spacing w:val="-1"/>
        </w:rPr>
        <w:t>TNNB1 (S45P)</w:t>
      </w:r>
      <w:r>
        <w:rPr>
          <w:b/>
          <w:bCs/>
        </w:rPr>
        <w:t xml:space="preserve"> antibody. </w:t>
      </w:r>
      <w:r>
        <w:t xml:space="preserve">HEK293T cells </w:t>
      </w:r>
      <w:r>
        <w:rPr>
          <w:spacing w:val="-1"/>
        </w:rPr>
        <w:t>were transfected with</w:t>
      </w:r>
      <w:r>
        <w:t xml:space="preserve"> pCDNA3-GFP-CTNNB1 (S45P) plasmi</w:t>
      </w:r>
      <w:r>
        <w:rPr>
          <w:spacing w:val="-1"/>
        </w:rPr>
        <w:t>d,</w:t>
      </w:r>
    </w:p>
    <w:p w14:paraId="18C1116A">
      <w:pPr>
        <w:pStyle w:val="2"/>
        <w:spacing w:before="32" w:line="193" w:lineRule="auto"/>
      </w:pPr>
      <w:r>
        <w:t>pCDNA3-GFP-CTNNB1 (WT) pl</w:t>
      </w:r>
      <w:r>
        <w:rPr>
          <w:spacing w:val="-1"/>
        </w:rPr>
        <w:t>asmid</w:t>
      </w:r>
    </w:p>
    <w:p w14:paraId="399E5F34">
      <w:pPr>
        <w:pStyle w:val="2"/>
        <w:spacing w:before="117" w:line="193" w:lineRule="auto"/>
      </w:pPr>
      <w:r>
        <w:t>pCDNA3-GFP-CTNNB1 (S45F) plasmid or</w:t>
      </w:r>
    </w:p>
    <w:p w14:paraId="407F759D">
      <w:pPr>
        <w:pStyle w:val="2"/>
        <w:spacing w:before="118" w:line="193" w:lineRule="auto"/>
      </w:pPr>
      <w:r>
        <w:t>pCDNA3-GFP-CTNNB1 (S45Y) plasm</w:t>
      </w:r>
      <w:r>
        <w:rPr>
          <w:spacing w:val="-1"/>
        </w:rPr>
        <w:t>id,</w:t>
      </w:r>
    </w:p>
    <w:p w14:paraId="6B80B4EA">
      <w:pPr>
        <w:pStyle w:val="2"/>
        <w:spacing w:before="118" w:line="193" w:lineRule="auto"/>
        <w:ind w:left="108"/>
      </w:pPr>
      <w:r>
        <w:t>then fixed and stain</w:t>
      </w:r>
      <w:r>
        <w:rPr>
          <w:spacing w:val="-1"/>
        </w:rPr>
        <w:t>ed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anti-CTNNB1</w:t>
      </w:r>
    </w:p>
    <w:p w14:paraId="2C02D5B1">
      <w:pPr>
        <w:pStyle w:val="2"/>
        <w:spacing w:before="118" w:line="193" w:lineRule="auto"/>
        <w:ind w:left="9"/>
      </w:pPr>
      <w:r>
        <w:t>(S45P) monoclonal antibody</w:t>
      </w:r>
      <w:r>
        <w:rPr>
          <w:spacing w:val="14"/>
        </w:rPr>
        <w:t xml:space="preserve"> </w:t>
      </w:r>
      <w:r>
        <w:t>(Cat.</w:t>
      </w:r>
      <w:r>
        <w:rPr>
          <w:spacing w:val="-1"/>
        </w:rPr>
        <w:t xml:space="preserve"> #26307).</w:t>
      </w:r>
    </w:p>
    <w:p w14:paraId="0EB776B3">
      <w:pPr>
        <w:spacing w:line="193" w:lineRule="auto"/>
      </w:pPr>
    </w:p>
    <w:p w14:paraId="1F5C9DC5">
      <w:pPr>
        <w:spacing w:line="193" w:lineRule="auto"/>
      </w:pPr>
    </w:p>
    <w:p w14:paraId="1B13946B">
      <w:pPr>
        <w:spacing w:line="193" w:lineRule="auto"/>
      </w:pPr>
    </w:p>
    <w:p w14:paraId="3A9A7455">
      <w:pPr>
        <w:spacing w:line="193" w:lineRule="auto"/>
      </w:pPr>
    </w:p>
    <w:p w14:paraId="151A0E0A">
      <w:pPr>
        <w:spacing w:line="193" w:lineRule="auto"/>
      </w:pPr>
    </w:p>
    <w:p w14:paraId="5099E19E">
      <w:pPr>
        <w:spacing w:line="193" w:lineRule="auto"/>
      </w:pPr>
    </w:p>
    <w:p w14:paraId="15D25E2C">
      <w:pPr>
        <w:spacing w:line="193" w:lineRule="auto"/>
      </w:pPr>
    </w:p>
    <w:p w14:paraId="1E6B1C9D">
      <w:pPr>
        <w:spacing w:line="193" w:lineRule="auto"/>
      </w:pPr>
      <w:bookmarkStart w:id="0" w:name="_GoBack"/>
      <w:bookmarkEnd w:id="0"/>
    </w:p>
    <w:p w14:paraId="6878C5D7">
      <w:pPr>
        <w:spacing w:line="193" w:lineRule="auto"/>
      </w:pPr>
    </w:p>
    <w:p w14:paraId="56876924">
      <w:pPr>
        <w:spacing w:line="193" w:lineRule="auto"/>
      </w:pPr>
    </w:p>
    <w:p w14:paraId="63F8788D">
      <w:pPr>
        <w:spacing w:line="193" w:lineRule="auto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84B3B9C">
      <w:pPr>
        <w:spacing w:line="193" w:lineRule="auto"/>
        <w:sectPr>
          <w:type w:val="continuous"/>
          <w:pgSz w:w="11906" w:h="16839"/>
          <w:pgMar w:top="849" w:right="266" w:bottom="0" w:left="1260" w:header="0" w:footer="0" w:gutter="0"/>
          <w:cols w:equalWidth="0" w:num="2">
            <w:col w:w="5062" w:space="100"/>
            <w:col w:w="5218"/>
          </w:cols>
        </w:sectPr>
      </w:pPr>
    </w:p>
    <w:p w14:paraId="247C9F4F">
      <w:pPr>
        <w:spacing w:line="333" w:lineRule="auto"/>
        <w:rPr>
          <w:rFonts w:ascii="Arial"/>
          <w:sz w:val="21"/>
        </w:rPr>
      </w:pPr>
    </w:p>
    <w:p w14:paraId="6B2A0C43">
      <w:pPr>
        <w:spacing w:line="333" w:lineRule="auto"/>
        <w:rPr>
          <w:rFonts w:ascii="Arial"/>
          <w:sz w:val="21"/>
        </w:rPr>
      </w:pPr>
    </w:p>
    <w:p w14:paraId="1DEF2F38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6FB87">
      <w:pPr>
        <w:spacing w:before="192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4F1E4632">
      <w:pPr>
        <w:spacing w:line="150" w:lineRule="exact"/>
      </w:pPr>
    </w:p>
    <w:p w14:paraId="1B988EA2">
      <w:pPr>
        <w:spacing w:line="150" w:lineRule="exact"/>
        <w:sectPr>
          <w:type w:val="continuous"/>
          <w:pgSz w:w="11906" w:h="16839"/>
          <w:pgMar w:top="849" w:right="266" w:bottom="0" w:left="1260" w:header="0" w:footer="0" w:gutter="0"/>
          <w:cols w:equalWidth="0" w:num="1">
            <w:col w:w="10380"/>
          </w:cols>
        </w:sectPr>
      </w:pPr>
    </w:p>
    <w:p w14:paraId="4A354135">
      <w:pPr>
        <w:pStyle w:val="2"/>
        <w:spacing w:before="48" w:line="252" w:lineRule="auto"/>
        <w:ind w:left="225" w:right="1828" w:hanging="225"/>
      </w:pPr>
    </w:p>
    <w:sectPr>
      <w:type w:val="continuous"/>
      <w:pgSz w:w="11906" w:h="16839"/>
      <w:pgMar w:top="849" w:right="266" w:bottom="0" w:left="1260" w:header="0" w:footer="0" w:gutter="0"/>
      <w:cols w:equalWidth="0" w:num="2">
        <w:col w:w="5007" w:space="100"/>
        <w:col w:w="527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0A26F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235</Words>
  <Characters>1522</Characters>
  <TotalTime>0</TotalTime>
  <ScaleCrop>false</ScaleCrop>
  <LinksUpToDate>false</LinksUpToDate>
  <CharactersWithSpaces>1749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2016-07-26T09:34:00Z</dcterms:created>
  <dc:creator>Limin Wang</dc:creator>
  <cp:lastModifiedBy>周亿福</cp:lastModifiedBy>
  <dcterms:modified xsi:type="dcterms:W3CDTF">2025-08-14T07:39:33Z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87F8D9E4DFBF4EB3A83E6D6510519966_12</vt:lpwstr>
  </property>
</Properties>
</file>